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10" w:rsidRDefault="00AA6F10">
      <w:r>
        <w:t>Bogotá D.C,  29 de marzo de 2019</w:t>
      </w:r>
    </w:p>
    <w:p w:rsidR="00BF550F" w:rsidRDefault="00BF550F" w:rsidP="00BF550F">
      <w:pPr>
        <w:spacing w:after="0"/>
      </w:pPr>
    </w:p>
    <w:p w:rsidR="00BF550F" w:rsidRDefault="00BF550F" w:rsidP="00BF550F">
      <w:pPr>
        <w:spacing w:after="0"/>
      </w:pPr>
    </w:p>
    <w:p w:rsidR="001049E7" w:rsidRDefault="001049E7" w:rsidP="00BF550F">
      <w:pPr>
        <w:spacing w:after="0"/>
      </w:pPr>
      <w:r>
        <w:t>Señor</w:t>
      </w:r>
      <w:r w:rsidR="00E24D39">
        <w:t>:</w:t>
      </w:r>
    </w:p>
    <w:p w:rsidR="001049E7" w:rsidRDefault="00E95388" w:rsidP="00BF550F">
      <w:pPr>
        <w:spacing w:after="0"/>
      </w:pPr>
      <w:r>
        <w:t xml:space="preserve">DIEGO </w:t>
      </w:r>
      <w:r w:rsidR="00E24D39">
        <w:t>LÓ</w:t>
      </w:r>
      <w:r w:rsidR="00BF550F">
        <w:t>PEZ MARINA</w:t>
      </w:r>
    </w:p>
    <w:p w:rsidR="00BF550F" w:rsidRDefault="00BF550F" w:rsidP="00BF550F">
      <w:pPr>
        <w:spacing w:after="0"/>
      </w:pPr>
      <w:r>
        <w:t>PERIODISTA</w:t>
      </w:r>
    </w:p>
    <w:p w:rsidR="00BF550F" w:rsidRDefault="00E24D39" w:rsidP="00BF550F">
      <w:pPr>
        <w:spacing w:after="0"/>
      </w:pPr>
      <w:r>
        <w:t>AGENCIA CATÓ</w:t>
      </w:r>
      <w:r w:rsidR="00BF550F">
        <w:t>LICA DE INFORMACIONES (ACI)</w:t>
      </w:r>
    </w:p>
    <w:p w:rsidR="001049E7" w:rsidRDefault="001049E7" w:rsidP="00BF550F">
      <w:pPr>
        <w:spacing w:after="0"/>
      </w:pPr>
    </w:p>
    <w:p w:rsidR="00AA6F10" w:rsidRDefault="00AA6F10"/>
    <w:p w:rsidR="00CD5747" w:rsidRDefault="00CD5747" w:rsidP="00636645">
      <w:r>
        <w:t>Reciba un cordial saludo de la comunidad de aprendizaje</w:t>
      </w:r>
      <w:r w:rsidR="00E24D39">
        <w:t xml:space="preserve"> del Colegio Claretiano.</w:t>
      </w:r>
      <w:r>
        <w:t xml:space="preserve"> </w:t>
      </w:r>
    </w:p>
    <w:p w:rsidR="00CD5747" w:rsidRDefault="00CD5747" w:rsidP="001049E7">
      <w:pPr>
        <w:jc w:val="both"/>
      </w:pPr>
      <w:r>
        <w:t>Dando respuesta a su comunicado con fecha de</w:t>
      </w:r>
      <w:r w:rsidR="001049E7">
        <w:t>l</w:t>
      </w:r>
      <w:r w:rsidR="00E24D39">
        <w:t xml:space="preserve"> 28</w:t>
      </w:r>
      <w:r>
        <w:t xml:space="preserve"> de marzo de</w:t>
      </w:r>
      <w:r w:rsidR="00E24D39">
        <w:t>l</w:t>
      </w:r>
      <w:r>
        <w:t xml:space="preserve"> 2019, aclaramos que nuestro manual de convivencia esta contextualizado en las disposiciones legales de Colombia, es así como basados en la constitución política de 1991,  se establece en el </w:t>
      </w:r>
      <w:r w:rsidRPr="00CD5747">
        <w:t xml:space="preserve">Artículo 1 </w:t>
      </w:r>
      <w:r>
        <w:t xml:space="preserve">que </w:t>
      </w:r>
      <w:r w:rsidRPr="00CD5747">
        <w:t>“Colombia es un Estado social de derecho, organizado en forma de República unitaria, descentralizada, con autonomía de sus entidades territoriales, democrática, participativa y pluralista, fundada en el respeto de la dignidad humana, en el trabajo y la solidaridad de las personas que la integran y en la prevalencia del interés general”</w:t>
      </w:r>
      <w:r w:rsidRPr="00CD5747">
        <w:rPr>
          <w:vertAlign w:val="superscript"/>
        </w:rPr>
        <w:footnoteReference w:id="1"/>
      </w:r>
      <w:r w:rsidRPr="00CD5747">
        <w:t>.</w:t>
      </w:r>
    </w:p>
    <w:p w:rsidR="00604E0C" w:rsidRDefault="00604E0C" w:rsidP="00604E0C">
      <w:pPr>
        <w:jc w:val="both"/>
      </w:pPr>
      <w:r>
        <w:t xml:space="preserve">También nos remitimos a los derechos sexuales y que se encuentran protegidos por la legislación internacional referente a derechos humanos y por otros documentos de las Naciones Unidas; entre los principales instrumentos legales internacionales que los apoyan están: Declaración Universal de los Derechos Humanos (1948); Pacto Internacional de Derechos Civiles y Políticos (1976); Pacto de Derechos Económicos y Sociales (1976); Convención Internacional para la Eliminación de Todas las Formas de Discriminación contra la Mujer (1981); Convención sobre los Derechos del Niño (1990), Declaración y Programa de Acción de la Conferencia Internacional de Derechos Humanos, Viena (1993), Programa de Acción de la Conferencia Internacional de Población y Desarrollo, El Cairo (1994), Programa de Acción de la Conferencia Mundial de la Mujer, Beijing (1995), y retomados por el ministerio de educación </w:t>
      </w:r>
      <w:r w:rsidR="00E95388">
        <w:t>“</w:t>
      </w:r>
      <w:r w:rsidRPr="00604E0C">
        <w:t>programa de educación para la sexualidad y construcción de ciudadanía</w:t>
      </w:r>
      <w:r w:rsidR="00E95388">
        <w:t>”</w:t>
      </w:r>
      <w:r w:rsidRPr="00604E0C">
        <w:t xml:space="preserve"> guía 1</w:t>
      </w:r>
      <w:r w:rsidR="00E95388">
        <w:t>, dónde se plantea</w:t>
      </w:r>
      <w:r>
        <w:t xml:space="preserve"> textualmente que tales derechos son: </w:t>
      </w:r>
    </w:p>
    <w:p w:rsidR="00604E0C" w:rsidRDefault="00604E0C" w:rsidP="008C153A">
      <w:pPr>
        <w:spacing w:after="0" w:line="240" w:lineRule="auto"/>
        <w:jc w:val="both"/>
      </w:pPr>
      <w:r>
        <w:t xml:space="preserve">• Derecho a la vida, derecho fundamental que permite el disfrute de los demás derechos. </w:t>
      </w:r>
    </w:p>
    <w:p w:rsidR="00604E0C" w:rsidRDefault="00604E0C" w:rsidP="008C153A">
      <w:pPr>
        <w:spacing w:after="0" w:line="240" w:lineRule="auto"/>
        <w:jc w:val="both"/>
      </w:pPr>
      <w:r>
        <w:t xml:space="preserve">• Derecho a la integridad física, psíquica y social. </w:t>
      </w:r>
    </w:p>
    <w:p w:rsidR="00604E0C" w:rsidRDefault="00604E0C" w:rsidP="008C153A">
      <w:pPr>
        <w:spacing w:after="0" w:line="240" w:lineRule="auto"/>
        <w:jc w:val="both"/>
      </w:pPr>
      <w:r>
        <w:t xml:space="preserve">• </w:t>
      </w:r>
      <w:r w:rsidRPr="00343F48">
        <w:t>Libertad a la finalidad del ejercicio de la sexualidad: re-creativa, comunicativa, reproductiva.</w:t>
      </w:r>
      <w:r>
        <w:t xml:space="preserve"> </w:t>
      </w:r>
    </w:p>
    <w:p w:rsidR="00604E0C" w:rsidRDefault="00604E0C" w:rsidP="008C153A">
      <w:pPr>
        <w:spacing w:after="0" w:line="240" w:lineRule="auto"/>
        <w:jc w:val="both"/>
      </w:pPr>
      <w:r>
        <w:t xml:space="preserve">• Respeto a las decisiones personales en torno a la preferencia sexual. </w:t>
      </w:r>
    </w:p>
    <w:p w:rsidR="00604E0C" w:rsidRDefault="00604E0C" w:rsidP="008C153A">
      <w:pPr>
        <w:spacing w:after="0" w:line="240" w:lineRule="auto"/>
        <w:jc w:val="both"/>
      </w:pPr>
      <w:r>
        <w:t>• Respeto a la opción de la reproducción.</w:t>
      </w:r>
    </w:p>
    <w:p w:rsidR="00604E0C" w:rsidRDefault="00604E0C" w:rsidP="008C153A">
      <w:pPr>
        <w:spacing w:after="0" w:line="240" w:lineRule="auto"/>
        <w:jc w:val="both"/>
      </w:pPr>
      <w:r>
        <w:t xml:space="preserve">• Elección del estado civil. </w:t>
      </w:r>
    </w:p>
    <w:p w:rsidR="00604E0C" w:rsidRDefault="00604E0C" w:rsidP="008C153A">
      <w:pPr>
        <w:spacing w:after="0" w:line="240" w:lineRule="auto"/>
        <w:jc w:val="both"/>
      </w:pPr>
      <w:r>
        <w:t xml:space="preserve">• Libertad de fundar una familia. </w:t>
      </w:r>
    </w:p>
    <w:p w:rsidR="00604E0C" w:rsidRDefault="00604E0C" w:rsidP="008C153A">
      <w:pPr>
        <w:spacing w:after="0" w:line="240" w:lineRule="auto"/>
        <w:jc w:val="both"/>
      </w:pPr>
      <w:r>
        <w:t>• Libertad de decidir sobre</w:t>
      </w:r>
      <w:r w:rsidR="00E95388">
        <w:t xml:space="preserve"> el número de hijos, el espacia</w:t>
      </w:r>
      <w:r>
        <w:t xml:space="preserve">miento entre ellos y la elección de los métodos anticonceptivos o </w:t>
      </w:r>
      <w:proofErr w:type="spellStart"/>
      <w:r>
        <w:t>proconceptivos</w:t>
      </w:r>
      <w:proofErr w:type="spellEnd"/>
      <w:r>
        <w:t xml:space="preserve">. </w:t>
      </w:r>
    </w:p>
    <w:p w:rsidR="00604E0C" w:rsidRDefault="00604E0C" w:rsidP="008C153A">
      <w:pPr>
        <w:spacing w:after="0" w:line="240" w:lineRule="auto"/>
        <w:jc w:val="both"/>
      </w:pPr>
      <w:r>
        <w:t xml:space="preserve">• Derecho al reconocimiento y aceptación de sí mismo, como hombre, como mujer y como ser sexuado. </w:t>
      </w:r>
    </w:p>
    <w:p w:rsidR="00604E0C" w:rsidRDefault="00604E0C" w:rsidP="008C153A">
      <w:pPr>
        <w:spacing w:after="0" w:line="240" w:lineRule="auto"/>
        <w:jc w:val="both"/>
      </w:pPr>
      <w:r>
        <w:t xml:space="preserve">• Derecho a la igualdad de sexo y de género. </w:t>
      </w:r>
    </w:p>
    <w:p w:rsidR="00604E0C" w:rsidRDefault="00604E0C" w:rsidP="008C153A">
      <w:pPr>
        <w:spacing w:after="0" w:line="240" w:lineRule="auto"/>
        <w:jc w:val="both"/>
      </w:pPr>
      <w:r>
        <w:t xml:space="preserve">• Derecho al fortalecimiento de la autoestima, la autovaloración, y la autonomía para lograr la toma de decisiones adecuadas respecto a la sexualidad. </w:t>
      </w:r>
    </w:p>
    <w:p w:rsidR="00604E0C" w:rsidRDefault="00604E0C" w:rsidP="008C153A">
      <w:pPr>
        <w:spacing w:after="0" w:line="240" w:lineRule="auto"/>
        <w:jc w:val="both"/>
      </w:pPr>
      <w:r>
        <w:t xml:space="preserve">• Expresión y libre ejercicio de la orientación sexual. </w:t>
      </w:r>
    </w:p>
    <w:p w:rsidR="00604E0C" w:rsidRDefault="00604E0C" w:rsidP="008C153A">
      <w:pPr>
        <w:spacing w:after="0" w:line="240" w:lineRule="auto"/>
        <w:jc w:val="both"/>
      </w:pPr>
      <w:r>
        <w:lastRenderedPageBreak/>
        <w:t xml:space="preserve">• Libertad de elegir compañero(a) sexual. </w:t>
      </w:r>
    </w:p>
    <w:p w:rsidR="00604E0C" w:rsidRDefault="00604E0C" w:rsidP="008C153A">
      <w:pPr>
        <w:spacing w:after="0" w:line="240" w:lineRule="auto"/>
        <w:jc w:val="both"/>
      </w:pPr>
      <w:r>
        <w:t xml:space="preserve">• Elegir si se tienen o no relaciones sexuales. </w:t>
      </w:r>
    </w:p>
    <w:p w:rsidR="00604E0C" w:rsidRDefault="00604E0C" w:rsidP="008C153A">
      <w:pPr>
        <w:spacing w:after="0" w:line="240" w:lineRule="auto"/>
        <w:jc w:val="both"/>
      </w:pPr>
      <w:r>
        <w:t xml:space="preserve">• Elegir las actividades sexuales según las preferencias. </w:t>
      </w:r>
    </w:p>
    <w:p w:rsidR="00604E0C" w:rsidRDefault="00604E0C" w:rsidP="008C153A">
      <w:pPr>
        <w:spacing w:after="0" w:line="240" w:lineRule="auto"/>
        <w:jc w:val="both"/>
      </w:pPr>
      <w:r>
        <w:t>• Derecho a recibir información clara, oportuna y científica acerca de la sexualidad.</w:t>
      </w:r>
    </w:p>
    <w:p w:rsidR="00604E0C" w:rsidRDefault="00604E0C" w:rsidP="008C153A">
      <w:pPr>
        <w:spacing w:after="0" w:line="240" w:lineRule="auto"/>
        <w:jc w:val="both"/>
      </w:pPr>
      <w:r>
        <w:t xml:space="preserve">• Derecho a espacios de comunicación familiar para tratar el tema de la sexualidad. </w:t>
      </w:r>
    </w:p>
    <w:p w:rsidR="00604E0C" w:rsidRDefault="00604E0C" w:rsidP="008C153A">
      <w:pPr>
        <w:spacing w:after="0" w:line="240" w:lineRule="auto"/>
        <w:jc w:val="both"/>
      </w:pPr>
      <w:r>
        <w:t xml:space="preserve">• Derecho a la intimidad personal, la vida privada y al buen nombre. </w:t>
      </w:r>
    </w:p>
    <w:p w:rsidR="00604E0C" w:rsidRDefault="00604E0C" w:rsidP="008C153A">
      <w:pPr>
        <w:spacing w:after="0" w:line="240" w:lineRule="auto"/>
        <w:jc w:val="both"/>
      </w:pPr>
      <w:r>
        <w:t xml:space="preserve">• Derecho a disponer de opciones con mínimo riesgo. </w:t>
      </w:r>
    </w:p>
    <w:p w:rsidR="00604E0C" w:rsidRDefault="00604E0C" w:rsidP="008C153A">
      <w:pPr>
        <w:spacing w:after="0" w:line="240" w:lineRule="auto"/>
        <w:jc w:val="both"/>
      </w:pPr>
      <w:r>
        <w:t xml:space="preserve">• Derecho a disponer de servicios de salud adecuados. </w:t>
      </w:r>
    </w:p>
    <w:p w:rsidR="00604E0C" w:rsidRDefault="00604E0C" w:rsidP="008C153A">
      <w:pPr>
        <w:spacing w:after="0" w:line="240" w:lineRule="auto"/>
        <w:jc w:val="both"/>
      </w:pPr>
      <w:r>
        <w:t xml:space="preserve">• Derecho a recibir un trato justo y respetuoso de las autoridades. </w:t>
      </w:r>
    </w:p>
    <w:p w:rsidR="00604E0C" w:rsidRDefault="00604E0C" w:rsidP="008C153A">
      <w:pPr>
        <w:spacing w:after="0" w:line="240" w:lineRule="auto"/>
        <w:jc w:val="both"/>
      </w:pPr>
      <w:r>
        <w:t>• Derecho a recibir protección ante la amenaza o la violación de los derechos fundamentales, sexuales y reproductivos</w:t>
      </w:r>
      <w:r>
        <w:rPr>
          <w:rStyle w:val="Refdenotaalpie"/>
        </w:rPr>
        <w:footnoteReference w:id="2"/>
      </w:r>
      <w:r>
        <w:t xml:space="preserve">. </w:t>
      </w:r>
    </w:p>
    <w:p w:rsidR="008C153A" w:rsidRDefault="008C153A" w:rsidP="008C153A">
      <w:pPr>
        <w:spacing w:after="0" w:line="240" w:lineRule="auto"/>
        <w:jc w:val="both"/>
      </w:pPr>
    </w:p>
    <w:p w:rsidR="00E95388" w:rsidRDefault="00AA6F10" w:rsidP="001049E7">
      <w:pPr>
        <w:jc w:val="both"/>
      </w:pPr>
      <w:r>
        <w:t xml:space="preserve">De acuerdo a lo planteado por ministerio de educación, se tiene que  </w:t>
      </w:r>
      <w:r w:rsidR="000C5173">
        <w:t>“</w:t>
      </w:r>
      <w:r w:rsidR="000C5173" w:rsidRPr="00CD5747">
        <w:t>La sexualidad es una dimensión constitutiva del ser humano, que se construye y se vive durante toda la vida, desde nuestro nacimiento. Es mucho más que relaciones sexuales o genitalidad; es la construcción que hacemos de nosotros mismos como hombres o como mujeres, a lo largo de nuestro proceso de desarrollo. Es una condición inherente a todos los seres humanos, y se constituye en un derecho cuyo disfrute debe ser garantizado por todas las sociedades.”</w:t>
      </w:r>
      <w:r w:rsidR="005264D2" w:rsidRPr="00CD5747">
        <w:rPr>
          <w:vertAlign w:val="superscript"/>
        </w:rPr>
        <w:footnoteReference w:id="3"/>
      </w:r>
      <w:r w:rsidR="005264D2" w:rsidRPr="00CD5747">
        <w:t xml:space="preserve"> </w:t>
      </w:r>
    </w:p>
    <w:p w:rsidR="00636645" w:rsidRPr="00CD5747" w:rsidRDefault="005264D2" w:rsidP="001049E7">
      <w:pPr>
        <w:jc w:val="both"/>
      </w:pPr>
      <w:r w:rsidRPr="00CD5747">
        <w:t>Por lo tanto</w:t>
      </w:r>
      <w:r w:rsidR="00E95388">
        <w:t>,</w:t>
      </w:r>
      <w:r w:rsidRPr="00CD5747">
        <w:t xml:space="preserve"> los derechos sexuales y reproductivos son transversales en todos los seres humanos y progresivos</w:t>
      </w:r>
      <w:r w:rsidR="001049E7">
        <w:t>,</w:t>
      </w:r>
      <w:r w:rsidRPr="00CD5747">
        <w:t xml:space="preserve"> teniendo en cuenta el desarrollo evolutivo de las personas</w:t>
      </w:r>
      <w:r w:rsidR="00636645" w:rsidRPr="00CD5747">
        <w:t>, es deber de la escuela “promover la salud sexual y reproductiva (…) a la luz del respeto y garantía de los derechos sexuales y reproductivos, que son la concreción de los derechos humanos universales en el terreno de la sexualidad. Los principios de los derechos sexuales y reproductivos, así como de los derechos humanos, son la dignidad, la libertad y la igualdad, que se traducen en la posibilidad de que cada persona defina y construya su identidad individual y sexual así como las formas de vivir su sexualidad de manera autónoma, a partir del reconocimiento de sus propios derechos y de aquellos de quienes la rodean.”</w:t>
      </w:r>
      <w:r w:rsidR="00636645" w:rsidRPr="001049E7">
        <w:rPr>
          <w:vertAlign w:val="superscript"/>
        </w:rPr>
        <w:footnoteReference w:id="4"/>
      </w:r>
    </w:p>
    <w:p w:rsidR="005264D2" w:rsidRDefault="005264D2" w:rsidP="001049E7">
      <w:pPr>
        <w:jc w:val="both"/>
      </w:pPr>
      <w:r w:rsidRPr="00CD5747">
        <w:t>Por otro lado</w:t>
      </w:r>
      <w:r w:rsidR="00E24D39">
        <w:t>,</w:t>
      </w:r>
      <w:r w:rsidRPr="00CD5747">
        <w:t xml:space="preserve"> la ley 1620  en el </w:t>
      </w:r>
      <w:r w:rsidR="00636645">
        <w:t>Artículo</w:t>
      </w:r>
      <w:r w:rsidR="00CD5747">
        <w:t xml:space="preserve"> 17 en r</w:t>
      </w:r>
      <w:r>
        <w:t>esponsabilidades de los establecimientos educativos en el Sistema Nacional de convivencia escolar y formación para los derechos humanos, la educación para la sexualidad y la prevención y mitigación de la violencia escolar; insta a los colegios a “Desarrollar los componentes de prevención, promoción y protección a través del manual de convivencia, y la aplicación de la Ruta de Atención Integral para la Convivencia Escolar, con el fin de proteger a los estudiantes contra toda forma de acoso, violencia escolar y vulneración de los derechos humanos sexuales y reproductivos, por parte de los demás compañeros, profesores o directivos docentes” a “Revisar y ajustar el proyecto educativo institucional, el manual de convivencia, y el sistema institucional de evaluación de estudiantes anualmente, en un proceso participativo que involucre a los estudiantes y en general a la comunidad educativa, a la luz de los enfoques de derechos, de competencias y diferencial, acorde con la Ley General de Educación, la Ley 1098 de 2006 y las normas que las desarrollan</w:t>
      </w:r>
      <w:r w:rsidR="00636645">
        <w:t>”</w:t>
      </w:r>
      <w:r>
        <w:t>.</w:t>
      </w:r>
      <w:r w:rsidR="00636645">
        <w:t xml:space="preserve"> Por lo tanto</w:t>
      </w:r>
      <w:r w:rsidR="00E24D39">
        <w:t>,</w:t>
      </w:r>
      <w:r w:rsidR="00636645">
        <w:t xml:space="preserve"> es obligatorio que dentro del manual de convivencia de todas las instituciones educativas </w:t>
      </w:r>
      <w:r w:rsidR="001049E7">
        <w:t xml:space="preserve">colombianas </w:t>
      </w:r>
      <w:r w:rsidR="00636645">
        <w:t xml:space="preserve">se contemple de manera explícita y se realice </w:t>
      </w:r>
      <w:r w:rsidR="00636645">
        <w:lastRenderedPageBreak/>
        <w:t>prevención, promoción y protección  de los derechos sexuales y reproductivos que rigen en el territorio colombiano</w:t>
      </w:r>
      <w:r w:rsidR="00636645" w:rsidRPr="001049E7">
        <w:rPr>
          <w:vertAlign w:val="superscript"/>
        </w:rPr>
        <w:footnoteReference w:id="5"/>
      </w:r>
      <w:r w:rsidR="00636645">
        <w:t>.</w:t>
      </w:r>
    </w:p>
    <w:p w:rsidR="00636645" w:rsidRDefault="001049E7" w:rsidP="001049E7">
      <w:pPr>
        <w:jc w:val="both"/>
      </w:pPr>
      <w:r>
        <w:t xml:space="preserve">Es así como dentro de las responsabilidades de los establecimientos educativos, se encuentra la </w:t>
      </w:r>
      <w:r w:rsidR="00636645">
        <w:t xml:space="preserve"> “Educación para el ejercicio de los derechos humanos, sexuales y reproductivos orientada a formar personas capaces de reconocerse como sujetos activos titulares de derechos humanos sexuales y reproductivos con la cual desarrollarán competencias para relacionarse consigo mismo y con los demás, con criterios de respeto por sí mismo, por el otro y por el entorno, con el fin de poder alcanzar un estado de bienestar físico, mental y social que les posibilite tomar decisiones asertivas, informadas y autónomas para ejercer una sexualidad libre, satisfactoria, respo</w:t>
      </w:r>
      <w:r w:rsidR="00CD5747">
        <w:t xml:space="preserve">nsable </w:t>
      </w:r>
      <w:r w:rsidR="00636645">
        <w:t>; en torno a la construcción de su proyecto de vida y a la transformación de las dinámicas sociales, hacia el establecimiento de relaciones más justas democráticas y responsables”</w:t>
      </w:r>
      <w:r w:rsidR="00636645" w:rsidRPr="001049E7">
        <w:rPr>
          <w:vertAlign w:val="superscript"/>
        </w:rPr>
        <w:footnoteReference w:id="6"/>
      </w:r>
      <w:r w:rsidR="00343F48">
        <w:t>.</w:t>
      </w:r>
    </w:p>
    <w:p w:rsidR="00343F48" w:rsidRDefault="00343F48" w:rsidP="001049E7">
      <w:pPr>
        <w:jc w:val="both"/>
      </w:pPr>
      <w:r>
        <w:t>Desde diferentes espacios se realizan talleres, conferencias y otras actividades en articulación con el compromiso institucional de favor</w:t>
      </w:r>
      <w:r w:rsidR="00D37263">
        <w:t>ecer la ruta de atención integral</w:t>
      </w:r>
      <w:r>
        <w:t xml:space="preserve"> en el tema de prevención y</w:t>
      </w:r>
      <w:r w:rsidR="00730CD5">
        <w:t xml:space="preserve"> promoción, dónde se desarrollan</w:t>
      </w:r>
      <w:r>
        <w:t xml:space="preserve"> diversidad de temática acordes con las metas institucionales</w:t>
      </w:r>
      <w:r w:rsidR="00D37263">
        <w:t>,</w:t>
      </w:r>
      <w:r>
        <w:t xml:space="preserve"> las necesidades e intereses de los e</w:t>
      </w:r>
      <w:r w:rsidR="00D37263">
        <w:t>studiantes y padre</w:t>
      </w:r>
      <w:r>
        <w:t>s de familia, sin toca</w:t>
      </w:r>
      <w:r w:rsidR="00D37263">
        <w:t>r de manera tacita los temas dónde se eduque sobre lo que significa adoptar una identidad de género, definir cuál es su orientación sexual o saber cuáles sería los deberes sexuales y reproductivos.</w:t>
      </w:r>
      <w:r>
        <w:t xml:space="preserve"> </w:t>
      </w:r>
      <w:r w:rsidR="00D37263">
        <w:t>Estos últimos se coloca en el manual de convivencia los  derechos como señala la ley, pero no define la intervención educativa con los estudiantes.</w:t>
      </w:r>
    </w:p>
    <w:p w:rsidR="00D37263" w:rsidRDefault="00D37263" w:rsidP="001049E7">
      <w:pPr>
        <w:jc w:val="both"/>
      </w:pPr>
      <w:r>
        <w:t xml:space="preserve">El colegio es confesional, católico y sigue la doctrina de la fe, en ningún momento desconocemos el evangelio y el carisma del fundador San Antonio </w:t>
      </w:r>
      <w:r w:rsidR="00BF550F">
        <w:t>María</w:t>
      </w:r>
      <w:r>
        <w:t xml:space="preserve"> </w:t>
      </w:r>
      <w:proofErr w:type="spellStart"/>
      <w:r>
        <w:t>Clare</w:t>
      </w:r>
      <w:r w:rsidR="00BF550F">
        <w:t>t</w:t>
      </w:r>
      <w:proofErr w:type="spellEnd"/>
      <w:r>
        <w:t>, todo lo contrario nuestro proyecto institucional se inspira en los valores del evangelio y en</w:t>
      </w:r>
      <w:r w:rsidR="00BF550F">
        <w:t xml:space="preserve"> el carisma Claretiano, esto </w:t>
      </w:r>
      <w:r>
        <w:t xml:space="preserve">lo enseñamos y lo vivimos en la comunidad de aprendizaje, a través de la oración, las </w:t>
      </w:r>
      <w:r w:rsidR="00BF550F">
        <w:t>eucaristía</w:t>
      </w:r>
      <w:r>
        <w:t>,</w:t>
      </w:r>
      <w:r w:rsidR="00BF550F">
        <w:t xml:space="preserve"> retiros, convivencias,</w:t>
      </w:r>
      <w:r>
        <w:t xml:space="preserve"> el cultivo de la espiritualidad  y se tiene como eje  trasversal la enseñanza de las sagradas</w:t>
      </w:r>
      <w:r w:rsidR="00BF550F">
        <w:t xml:space="preserve"> escrituras haciendo énfasis en </w:t>
      </w:r>
      <w:r>
        <w:t xml:space="preserve">el proyecto de </w:t>
      </w:r>
      <w:r w:rsidR="00BF550F">
        <w:t>Jesús, y la misión de la iglesia católica, todo este proceso lo acompañamos desde la pastoral educativa.</w:t>
      </w:r>
    </w:p>
    <w:p w:rsidR="00BE23E2" w:rsidRDefault="00BF550F" w:rsidP="001049E7">
      <w:pPr>
        <w:jc w:val="both"/>
      </w:pPr>
      <w:r>
        <w:t>Somos conscientes que las leyes y normatividades que se nos exigen en ocasiones no son consistentes con el evangelio, pero son de estricto cumplimiento e</w:t>
      </w:r>
      <w:r w:rsidR="00730CD5">
        <w:t>n las Instituciones Educativas</w:t>
      </w:r>
      <w:r>
        <w:t>.</w:t>
      </w:r>
    </w:p>
    <w:p w:rsidR="00B55D8E" w:rsidRDefault="00B55D8E" w:rsidP="001049E7">
      <w:pPr>
        <w:jc w:val="both"/>
      </w:pPr>
      <w:r>
        <w:t>Quedo atento a sus inquietudes, que Dios</w:t>
      </w:r>
      <w:r w:rsidR="00496348">
        <w:t xml:space="preserve"> y la</w:t>
      </w:r>
      <w:r>
        <w:t xml:space="preserve"> Santísima</w:t>
      </w:r>
      <w:r w:rsidR="00496348">
        <w:t xml:space="preserve"> Virgen María </w:t>
      </w:r>
      <w:r>
        <w:t xml:space="preserve"> lo </w:t>
      </w:r>
      <w:proofErr w:type="gramStart"/>
      <w:r w:rsidR="00E06F07">
        <w:t>acompañen</w:t>
      </w:r>
      <w:proofErr w:type="gramEnd"/>
      <w:r w:rsidR="00E06F07">
        <w:t xml:space="preserve"> </w:t>
      </w:r>
      <w:r>
        <w:t xml:space="preserve"> siempre con bendiciones.</w:t>
      </w:r>
      <w:bookmarkStart w:id="0" w:name="_GoBack"/>
      <w:bookmarkEnd w:id="0"/>
    </w:p>
    <w:p w:rsidR="00BE23E2" w:rsidRDefault="00730CD5" w:rsidP="001049E7">
      <w:pPr>
        <w:jc w:val="both"/>
      </w:pPr>
      <w:r>
        <w:t>Fraternalmente:</w:t>
      </w:r>
      <w:r w:rsidR="00BE23E2">
        <w:t xml:space="preserve"> </w:t>
      </w:r>
    </w:p>
    <w:p w:rsidR="00BE23E2" w:rsidRDefault="00BE23E2" w:rsidP="001049E7">
      <w:pPr>
        <w:jc w:val="both"/>
      </w:pPr>
    </w:p>
    <w:p w:rsidR="00BE23E2" w:rsidRPr="00BE23E2" w:rsidRDefault="00BE23E2" w:rsidP="00BE23E2">
      <w:pPr>
        <w:pStyle w:val="Sinespaciado"/>
        <w:rPr>
          <w:b/>
        </w:rPr>
      </w:pPr>
      <w:r w:rsidRPr="00BE23E2">
        <w:rPr>
          <w:b/>
        </w:rPr>
        <w:t>Padre Avelino Suarez Barrera, CMF.</w:t>
      </w:r>
    </w:p>
    <w:p w:rsidR="00BE23E2" w:rsidRPr="00BE23E2" w:rsidRDefault="00BE23E2" w:rsidP="00BE23E2">
      <w:pPr>
        <w:pStyle w:val="Sinespaciado"/>
        <w:rPr>
          <w:b/>
        </w:rPr>
      </w:pPr>
      <w:r w:rsidRPr="00BE23E2">
        <w:rPr>
          <w:b/>
        </w:rPr>
        <w:t>Rector</w:t>
      </w:r>
      <w:r w:rsidR="00730CD5">
        <w:rPr>
          <w:b/>
        </w:rPr>
        <w:t xml:space="preserve"> </w:t>
      </w:r>
      <w:r w:rsidRPr="00BE23E2">
        <w:rPr>
          <w:b/>
        </w:rPr>
        <w:t xml:space="preserve">Colegio Claretiano </w:t>
      </w:r>
    </w:p>
    <w:p w:rsidR="00BE23E2" w:rsidRDefault="00BE23E2" w:rsidP="001049E7">
      <w:pPr>
        <w:jc w:val="both"/>
      </w:pPr>
    </w:p>
    <w:p w:rsidR="005264D2" w:rsidRDefault="005264D2" w:rsidP="005264D2"/>
    <w:p w:rsidR="00AA6F10" w:rsidRDefault="00AA6F10"/>
    <w:sectPr w:rsidR="00AA6F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930" w:rsidRDefault="009E7930" w:rsidP="005264D2">
      <w:pPr>
        <w:spacing w:after="0" w:line="240" w:lineRule="auto"/>
      </w:pPr>
      <w:r>
        <w:separator/>
      </w:r>
    </w:p>
  </w:endnote>
  <w:endnote w:type="continuationSeparator" w:id="0">
    <w:p w:rsidR="009E7930" w:rsidRDefault="009E7930" w:rsidP="0052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930" w:rsidRDefault="009E7930" w:rsidP="005264D2">
      <w:pPr>
        <w:spacing w:after="0" w:line="240" w:lineRule="auto"/>
      </w:pPr>
      <w:r>
        <w:separator/>
      </w:r>
    </w:p>
  </w:footnote>
  <w:footnote w:type="continuationSeparator" w:id="0">
    <w:p w:rsidR="009E7930" w:rsidRDefault="009E7930" w:rsidP="005264D2">
      <w:pPr>
        <w:spacing w:after="0" w:line="240" w:lineRule="auto"/>
      </w:pPr>
      <w:r>
        <w:continuationSeparator/>
      </w:r>
    </w:p>
  </w:footnote>
  <w:footnote w:id="1">
    <w:p w:rsidR="00CD5747" w:rsidRPr="00CD5747" w:rsidRDefault="00CD5747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Constitución Política de Colombia</w:t>
      </w:r>
    </w:p>
  </w:footnote>
  <w:footnote w:id="2">
    <w:p w:rsidR="00604E0C" w:rsidRPr="00604E0C" w:rsidRDefault="00604E0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Ministerio de educación. educación </w:t>
      </w:r>
      <w:r w:rsidRPr="00604E0C">
        <w:t>programa de educación para la sexualidad y construcción de ciudadanía guía 1</w:t>
      </w:r>
      <w:r w:rsidR="00E95388">
        <w:t>. P.23.</w:t>
      </w:r>
    </w:p>
  </w:footnote>
  <w:footnote w:id="3">
    <w:p w:rsidR="005264D2" w:rsidRPr="00CD5747" w:rsidRDefault="005264D2" w:rsidP="00CD5747">
      <w:pPr>
        <w:rPr>
          <w:sz w:val="20"/>
          <w:szCs w:val="20"/>
          <w:lang w:val="es-ES"/>
        </w:rPr>
      </w:pPr>
      <w:r>
        <w:rPr>
          <w:rStyle w:val="Refdenotaalpie"/>
        </w:rPr>
        <w:footnoteRef/>
      </w:r>
      <w:hyperlink r:id="rId1" w:history="1">
        <w:r w:rsidR="00CD5747" w:rsidRPr="00CD5747">
          <w:rPr>
            <w:sz w:val="20"/>
            <w:szCs w:val="20"/>
            <w:lang w:val="es-ES"/>
          </w:rPr>
          <w:t>https://webcache.googleusercontent.com/search?q=cache:t4LP6Cy5pHIJ:https://www.mineducacion.gov.co/1621/article-173947.html+&amp;cd=1&amp;hl=es-419&amp;ct=clnk&amp;gl=co</w:t>
        </w:r>
      </w:hyperlink>
    </w:p>
  </w:footnote>
  <w:footnote w:id="4">
    <w:p w:rsidR="00636645" w:rsidRPr="00636645" w:rsidRDefault="00636645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>
        <w:rPr>
          <w:lang w:val="es-ES"/>
        </w:rPr>
        <w:t>Ibid</w:t>
      </w:r>
      <w:proofErr w:type="spellEnd"/>
    </w:p>
  </w:footnote>
  <w:footnote w:id="5">
    <w:p w:rsidR="00636645" w:rsidRPr="00636645" w:rsidRDefault="00636645" w:rsidP="001049E7">
      <w:pPr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CD5747">
        <w:rPr>
          <w:sz w:val="20"/>
          <w:szCs w:val="20"/>
          <w:lang w:val="es-ES"/>
        </w:rPr>
        <w:t xml:space="preserve">Ley 1620 </w:t>
      </w:r>
      <w:proofErr w:type="spellStart"/>
      <w:r w:rsidRPr="00CD5747">
        <w:rPr>
          <w:sz w:val="20"/>
          <w:szCs w:val="20"/>
          <w:lang w:val="es-ES"/>
        </w:rPr>
        <w:t>ARTíCULO</w:t>
      </w:r>
      <w:proofErr w:type="spellEnd"/>
      <w:r w:rsidRPr="00CD5747">
        <w:rPr>
          <w:sz w:val="20"/>
          <w:szCs w:val="20"/>
          <w:lang w:val="es-ES"/>
        </w:rPr>
        <w:t xml:space="preserve"> 17. Desarrollar los componentes de prevención, promoción y protección a través del manual de convivencia, y la aplicación de la Ruta de Atención Integral para la Convivencia Escolar, con el fin de proteger a los estudiantes contra toda forma de acoso, violencia escolar y vulneración de los derechos humanos sexuales y reproductivos, por parte de los demás compañeros, profesores o directivos docentes.</w:t>
      </w:r>
    </w:p>
  </w:footnote>
  <w:footnote w:id="6">
    <w:p w:rsidR="00636645" w:rsidRPr="00636645" w:rsidRDefault="00636645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Ley 1620. </w:t>
      </w:r>
      <w:proofErr w:type="spellStart"/>
      <w:r>
        <w:rPr>
          <w:lang w:val="es-ES"/>
        </w:rPr>
        <w:t>Capitulo</w:t>
      </w:r>
      <w:proofErr w:type="spellEnd"/>
      <w:r>
        <w:rPr>
          <w:lang w:val="es-ES"/>
        </w:rPr>
        <w:t xml:space="preserve"> 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173"/>
    <w:rsid w:val="000C5173"/>
    <w:rsid w:val="001049E7"/>
    <w:rsid w:val="00307879"/>
    <w:rsid w:val="00343F48"/>
    <w:rsid w:val="00496348"/>
    <w:rsid w:val="005264D2"/>
    <w:rsid w:val="00604E0C"/>
    <w:rsid w:val="00636645"/>
    <w:rsid w:val="00730CD5"/>
    <w:rsid w:val="008C153A"/>
    <w:rsid w:val="009E7930"/>
    <w:rsid w:val="00AA6F10"/>
    <w:rsid w:val="00B55D8E"/>
    <w:rsid w:val="00BE23E2"/>
    <w:rsid w:val="00BF550F"/>
    <w:rsid w:val="00CD5747"/>
    <w:rsid w:val="00D37263"/>
    <w:rsid w:val="00DE4BF1"/>
    <w:rsid w:val="00E06F07"/>
    <w:rsid w:val="00E1475D"/>
    <w:rsid w:val="00E24D39"/>
    <w:rsid w:val="00E403CE"/>
    <w:rsid w:val="00E95388"/>
    <w:rsid w:val="00ED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C5173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264D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64D2"/>
    <w:rPr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5264D2"/>
    <w:rPr>
      <w:vertAlign w:val="superscript"/>
    </w:rPr>
  </w:style>
  <w:style w:type="paragraph" w:styleId="Sinespaciado">
    <w:name w:val="No Spacing"/>
    <w:uiPriority w:val="1"/>
    <w:qFormat/>
    <w:rsid w:val="00BE23E2"/>
    <w:pPr>
      <w:spacing w:after="0" w:line="240" w:lineRule="auto"/>
    </w:pPr>
    <w:rPr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C5173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264D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64D2"/>
    <w:rPr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5264D2"/>
    <w:rPr>
      <w:vertAlign w:val="superscript"/>
    </w:rPr>
  </w:style>
  <w:style w:type="paragraph" w:styleId="Sinespaciado">
    <w:name w:val="No Spacing"/>
    <w:uiPriority w:val="1"/>
    <w:qFormat/>
    <w:rsid w:val="00BE23E2"/>
    <w:pPr>
      <w:spacing w:after="0" w:line="240" w:lineRule="auto"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cache.googleusercontent.com/search?q=cache:t4LP6Cy5pHIJ:https://www.mineducacion.gov.co/1621/article-173947.html+&amp;cd=1&amp;hl=es-419&amp;ct=clnk&amp;gl=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71D22-277D-48BA-B582-5964CE02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1346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RECTORIA</cp:lastModifiedBy>
  <cp:revision>5</cp:revision>
  <dcterms:created xsi:type="dcterms:W3CDTF">2019-03-29T16:10:00Z</dcterms:created>
  <dcterms:modified xsi:type="dcterms:W3CDTF">2019-03-29T16:58:00Z</dcterms:modified>
</cp:coreProperties>
</file>